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332"/>
        <w:gridCol w:w="1015"/>
        <w:gridCol w:w="2842"/>
        <w:gridCol w:w="819"/>
        <w:gridCol w:w="820"/>
        <w:gridCol w:w="819"/>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keepNext/>
              <w:keepLines/>
              <w:spacing w:after="0"/>
              <w:jc w:val="center"/>
              <w:rPr>
                <w:rFonts w:ascii="宋体" w:hAnsi="宋体" w:eastAsia="宋体" w:cs="宋体"/>
                <w:b/>
                <w:bCs/>
                <w:sz w:val="18"/>
                <w:szCs w:val="18"/>
              </w:rPr>
            </w:pPr>
            <w:bookmarkStart w:id="0" w:name="_Toc386463772"/>
            <w:bookmarkStart w:id="1" w:name="_Toc431409426"/>
            <w:bookmarkStart w:id="2" w:name="_Toc432419776"/>
            <w:bookmarkStart w:id="3" w:name="_Toc431409479"/>
            <w:bookmarkStart w:id="4" w:name="_Toc52785163"/>
            <w:r>
              <w:rPr>
                <w:rFonts w:hint="eastAsia" w:ascii="宋体" w:hAnsi="宋体" w:eastAsia="宋体" w:cs="宋体"/>
                <w:b/>
                <w:bCs/>
                <w:sz w:val="18"/>
                <w:szCs w:val="18"/>
              </w:rPr>
              <w:t>序号</w:t>
            </w:r>
          </w:p>
        </w:tc>
        <w:tc>
          <w:tcPr>
            <w:tcW w:w="1332"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项目来源</w:t>
            </w:r>
          </w:p>
        </w:tc>
        <w:tc>
          <w:tcPr>
            <w:tcW w:w="1015"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项目编号</w:t>
            </w:r>
          </w:p>
        </w:tc>
        <w:tc>
          <w:tcPr>
            <w:tcW w:w="2842"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项目名称</w:t>
            </w:r>
          </w:p>
        </w:tc>
        <w:tc>
          <w:tcPr>
            <w:tcW w:w="819"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负责人</w:t>
            </w:r>
          </w:p>
        </w:tc>
        <w:tc>
          <w:tcPr>
            <w:tcW w:w="820"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开始</w:t>
            </w:r>
          </w:p>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年月</w:t>
            </w:r>
          </w:p>
        </w:tc>
        <w:tc>
          <w:tcPr>
            <w:tcW w:w="819"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结束</w:t>
            </w:r>
          </w:p>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年月</w:t>
            </w:r>
          </w:p>
        </w:tc>
        <w:tc>
          <w:tcPr>
            <w:tcW w:w="820" w:type="dxa"/>
            <w:vAlign w:val="center"/>
          </w:tcPr>
          <w:p>
            <w:pPr>
              <w:keepNext/>
              <w:keepLines/>
              <w:spacing w:after="0"/>
              <w:jc w:val="center"/>
              <w:rPr>
                <w:rFonts w:ascii="宋体" w:hAnsi="宋体" w:eastAsia="宋体" w:cs="宋体"/>
                <w:b/>
                <w:bCs/>
                <w:sz w:val="18"/>
                <w:szCs w:val="18"/>
              </w:rPr>
            </w:pPr>
            <w:r>
              <w:rPr>
                <w:rFonts w:hint="eastAsia" w:ascii="宋体" w:hAnsi="宋体" w:eastAsia="宋体" w:cs="宋体"/>
                <w:b/>
                <w:bCs/>
                <w:sz w:val="18"/>
                <w:szCs w:val="18"/>
              </w:rPr>
              <w:t>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31572050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我国葡萄灰霉病菌种内多样性及其生物防治</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李亚宁</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31571662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周麦22中抗叶锈病基因LrZH22的精细定位和图位克隆</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李在峰</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31501623</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小麦TaLr19TLP1基因抗叶锈病功能鉴定及互作蛋白的筛选</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王海燕</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31571956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小麦叶锈菌侵染小麦过程中效应因子的鉴定及功能分析</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31750002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《中国动物志》的编研子课题</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中国动物志昆虫纲鞘翅目扁甲总科大蕈甲科（一）</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31701776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锈菌效应蛋白PNPi与小麦脂质转移蛋白TaLTP3的分子互作研究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王逍冬</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31801394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花生侵脉新赤壳菌果腐病抗性的遗传分析及抗病基因挖掘</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何美敬</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31871915</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小麦叶锈菌效应蛋白Pt-2567对小麦抗叶锈病NILTcLr28无毒效应研究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31871981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基于转酮醇酶新靶标的除草活性分子设计与合成及构效关系研究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31972316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玫瑰黄链霉菌抑菌活性代谢产物roflamycoin的生物合成及调控研究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李亚宁</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202312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31900341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基于全线粒体基因组的草蛉总科高级阶元系统发育及演化</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王玉玉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32072369</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灰葡萄孢致病基因BcPDR1调控病菌致病力的分子机制</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董金皋</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202412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32070143</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马铃薯早疫病菌效应子AsCBP1致病的分子机理</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杨志辉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202412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32072370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双锌指结构域转录因子StMR1 调控玉米大斑病菌黑色素合成的分子机制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曹志艳</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202412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32001538</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小麦抗叶锈病新基因LrFun的克隆和功能验证</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张培培</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202312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32001927</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以转酮醇酶为靶标酶的新型嘧啶吡唑胺类除草剂先导的结构优化</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陈来</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202312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32001956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枯草芽胞杆菌ZD01挥发性活性成分苯乙酮对早疫病菌的抑制机理</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张岱</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202312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32001890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小麦抗叶锈病基因LrHu的克隆与功能验证</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李星</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202312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2016YFD0201126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河北苹果农药减施增效技术集成研究与示范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曹克强</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2016YFD0300704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东北春玉米区主要病虫草害的绿色防控技术</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董金皋</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2016YFD0201110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苹果专用新型农药筛选及施用技术研发与集成</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王树桐</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2017YFD020100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天敌昆虫防控技术及产品研发</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刘廷辉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2017YFD0200900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基于光色视觉的高效、绿色害虫防控新技术研究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魏国树</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2018YFD0200608-3</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环京津夏玉米化肥农药减施增效技术集成与示范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刘颖超</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2018YFD0200806-5</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华北区马铃薯化学肥料和化学农药减施技术模式集成与示范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杨志辉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2018YFD0200608-2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黄淮海夏玉米农药减施增效共性关键技术研究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shd w:val="clear" w:color="auto" w:fill="auto"/>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2018YFD0200607</w:t>
            </w:r>
          </w:p>
        </w:tc>
        <w:tc>
          <w:tcPr>
            <w:tcW w:w="284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冀中南夏玉米化肥农药减施增效技术集成研究与示范</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张利辉</w:t>
            </w:r>
          </w:p>
        </w:tc>
        <w:tc>
          <w:tcPr>
            <w:tcW w:w="820"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shd w:val="clear" w:color="000000" w:fill="FFFFFF"/>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2018YFD0200806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华北区马铃薯化学肥料和化学农药减施技术模式集成与示范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朱杰华</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2017YFE0122700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基于物联网、大数据和遥感的马铃薯病害精准管理云平台研发与示范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胡同乐</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2018YFD0300502-2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河北小麦-玉米重要生物灾害与气象灾害统防统治技术集成与示范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齐永志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shd w:val="clear" w:color="auto" w:fill="auto"/>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2018YFD0300505-4</w:t>
            </w:r>
          </w:p>
        </w:tc>
        <w:tc>
          <w:tcPr>
            <w:tcW w:w="284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浅井灌溉区小麦-玉米周年轻简抗逆丰产水热高效栽培技术集成与示范</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尹宝重</w:t>
            </w:r>
          </w:p>
        </w:tc>
        <w:tc>
          <w:tcPr>
            <w:tcW w:w="820"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201807</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shd w:val="clear" w:color="000000" w:fill="FFFFFF"/>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国家重点研发计划</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2017YFD0201600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化学肥料和农药减施增效综合技术研发</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何运转</w:t>
            </w:r>
          </w:p>
        </w:tc>
        <w:tc>
          <w:tcPr>
            <w:tcW w:w="820" w:type="dxa"/>
            <w:vAlign w:val="center"/>
          </w:tcPr>
          <w:p>
            <w:pPr>
              <w:keepNext/>
              <w:keepLines/>
              <w:tabs>
                <w:tab w:val="left" w:pos="299"/>
              </w:tabs>
              <w:spacing w:after="0"/>
              <w:jc w:val="center"/>
              <w:rPr>
                <w:rFonts w:ascii="宋体" w:hAnsi="宋体" w:eastAsia="宋体" w:cs="宋体"/>
                <w:sz w:val="18"/>
                <w:szCs w:val="18"/>
              </w:rPr>
            </w:pPr>
            <w:r>
              <w:rPr>
                <w:rFonts w:hint="eastAsia" w:ascii="宋体" w:hAnsi="宋体" w:eastAsia="宋体" w:cs="宋体"/>
                <w:sz w:val="18"/>
                <w:szCs w:val="18"/>
              </w:rPr>
              <w:t>201701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CARS-27</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国家苹果产业技术体系-苹果病虫害生物防治与综合防控</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曹克强</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CARS-02-12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国家玉米产业技术体系-东华北玉米病虫害防控</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董金皋</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CARS-13</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国家花生产业技术体系-花生病虫害防控</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郭巍</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shd w:val="clear" w:color="auto" w:fill="auto"/>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国家产业技术体系</w:t>
            </w:r>
          </w:p>
        </w:tc>
        <w:tc>
          <w:tcPr>
            <w:tcW w:w="1015"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CARS-10-P12</w:t>
            </w:r>
          </w:p>
        </w:tc>
        <w:tc>
          <w:tcPr>
            <w:tcW w:w="2842"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国家马铃薯产业技术体系-马铃薯真菌病害防控</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朱杰华</w:t>
            </w:r>
          </w:p>
        </w:tc>
        <w:tc>
          <w:tcPr>
            <w:tcW w:w="820"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shd w:val="clear" w:color="auto" w:fill="auto"/>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shd w:val="clear" w:color="000000" w:fill="FFFFFF"/>
            <w:vAlign w:val="center"/>
          </w:tcPr>
          <w:p>
            <w:pPr>
              <w:keepNext/>
              <w:keepLines/>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125D0101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农产品质量安全监管专项-特色小宗作物用药试验</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14192015</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虫螨在苹果、梨中最大残留限量标准修订</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刘颖超</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142019</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水生蔬菜使用植调剂后的安全风险评估及营养品质评价</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康占海</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125A0609-1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河北省重大危害外来入侵物种调查监测与综合防控</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201906</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125A0609-2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区域内重大危害外来入侵物种调查监测与综合防控（河北黄顶</w:t>
            </w:r>
          </w:p>
          <w:p>
            <w:pPr>
              <w:keepNext/>
              <w:keepLines/>
              <w:spacing w:after="0"/>
              <w:jc w:val="center"/>
              <w:rPr>
                <w:rFonts w:ascii="宋体" w:hAnsi="宋体" w:eastAsia="宋体" w:cs="宋体"/>
                <w:sz w:val="18"/>
                <w:szCs w:val="18"/>
              </w:rPr>
            </w:pPr>
            <w:r>
              <w:rPr>
                <w:rFonts w:hint="eastAsia" w:ascii="宋体" w:hAnsi="宋体" w:eastAsia="宋体" w:cs="宋体"/>
                <w:sz w:val="18"/>
                <w:szCs w:val="18"/>
              </w:rPr>
              <w:t>菊、印加孔雀草等入侵物种）</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202006</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农村农业部</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125A0609-3</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外来入侵物种普查试点技术支撑服</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省现代农业产业技术体系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HBCT2018060204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河北省现代农业产业技术体系中药材创新团队病虫草害绿色防控技术</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何运转</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省现代农业产业技术体系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HBCT2018010204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河北省现代农业产业技术体系小麦创新团队绿色防控与质量检测</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省现代农业产业技术体系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HBCT2018080205</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河北省现代农业产业技术体系薯类创新团队绿色防控与贮藏</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杨志辉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省现代农业产业技术体系</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HBCT2018020204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河北省现代农业产业技术体系玉米创新团队绿色防控与质量控制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张金林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C2016204140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层出镰刀菌T-DNA插入突变体库构建及其致病相关基因研究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王树桐</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201601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C2017204024</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小麦品种N. strampelli成株期抗叶锈性遗传分析与分子作图</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李星</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C2017204072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美国白蛾中肠Bt Cry2Ab毒素受体蛋白的鉴定及功能分析</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陆秀君</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C2017204115</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基于突变体及BSR-seq的Lr19抗病基因的cSNPs定位</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C2017204050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阿魏酸乙酯的除草作用机制研究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张利辉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C2018204059</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转录因子Stmr1p调控玉米大斑病菌黑色素合成的分子机制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曹志艳</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C2018204091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小麦锈菌效应蛋白PNPi的植物靶标研究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王逍冬</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201801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B2019204030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基于CMPA的生态农药分子的设计合成及生物活性研究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陈来</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C2019204327</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苹果斑点落叶病菌真菌病毒的克隆及特性研究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王亚南</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C2019204149</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褐蛉科线粒体基因组学及其高级阶元系统发育研究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王玉玉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C2019204040</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河北省小麦叶锈菌转主寄主鉴定及对新小种产生的作用</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闫红飞</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202112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C2020204071</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小麦叶锈菌效应蛋白Pt-20911对TcLr38表现无毒效应机理研究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C2020204036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基于DARTS技术的肉桂酸衍生物除草作用靶标的研究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张利辉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C2020204028</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TaNAC069参与小麦抗叶锈病防御反应的分子机理解析</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王海燕</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C2020204017</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新型三唑并噻二唑类高活性杀菌化合物的分子靶标确证研究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赵斌</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C2020204167</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新的小麦慢叶锈病基因QLr.hebau-3DS的精细定位</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张培培</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河北省自然科学基金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C2020204116</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草甘膦特异性纳米抗体识别机理研究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霍静倩</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1055010-2</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山药高产高效绿色种植技术体系集成研究与示范</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李瑞军</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2017014</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19226503D</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植物多功能复合微生态制剂的研发与应用</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董金皋</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202206</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19226508D</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河北省苹果病虫害绿色安全高效防控关键技术研究</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王树桐</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202206</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19226507D</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小麦赤霉病节药、高效、绿色防控技术研发</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杨文香</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202206</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19226504D</w:t>
            </w:r>
          </w:p>
        </w:tc>
        <w:tc>
          <w:tcPr>
            <w:tcW w:w="2842"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河北省玉米田杂草绿色防控关键技术</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张利辉</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201907</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202206</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河北省重点实验室</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20567672H</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河北省农作物病虫害生物防治工程技术研究中心绩效后补助经费</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刘大群</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20326502D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玉米镰孢菌病害绿色防控关键技术集成与应用</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曹志艳</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20327405D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果园智慧管理决策支持系统研发与示范</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胡同乐</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20326812D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河北省山地苹果肥药双减安全生产关键技术创新与示范</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陆秀君</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20326506D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河北省桃树主要病虫害绿色防控关键技术优化与集成</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王海燕</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20326407D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夏玉米深松分层施肥播种一体化技术研究与示范</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尹宝重</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8" w:type="dxa"/>
            <w:vAlign w:val="center"/>
          </w:tcPr>
          <w:p>
            <w:pPr>
              <w:pStyle w:val="4"/>
              <w:keepNext/>
              <w:keepLines/>
              <w:numPr>
                <w:ilvl w:val="0"/>
                <w:numId w:val="1"/>
              </w:numPr>
              <w:spacing w:after="0"/>
              <w:ind w:firstLineChars="0"/>
              <w:jc w:val="center"/>
              <w:rPr>
                <w:rFonts w:ascii="宋体" w:hAnsi="宋体" w:eastAsia="宋体" w:cs="宋体"/>
                <w:sz w:val="18"/>
                <w:szCs w:val="18"/>
              </w:rPr>
            </w:pPr>
          </w:p>
        </w:tc>
        <w:tc>
          <w:tcPr>
            <w:tcW w:w="133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河北省重点研发</w:t>
            </w:r>
          </w:p>
        </w:tc>
        <w:tc>
          <w:tcPr>
            <w:tcW w:w="1015"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20326510D</w:t>
            </w:r>
          </w:p>
        </w:tc>
        <w:tc>
          <w:tcPr>
            <w:tcW w:w="2842"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基于拟轮枝镰孢OSBP蛋白的植物免疫诱抗剂开发</w:t>
            </w:r>
          </w:p>
        </w:tc>
        <w:tc>
          <w:tcPr>
            <w:tcW w:w="819"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赵斌</w:t>
            </w:r>
          </w:p>
        </w:tc>
        <w:tc>
          <w:tcPr>
            <w:tcW w:w="820"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202001</w:t>
            </w:r>
          </w:p>
        </w:tc>
        <w:tc>
          <w:tcPr>
            <w:tcW w:w="819" w:type="dxa"/>
            <w:vAlign w:val="center"/>
          </w:tcPr>
          <w:p>
            <w:pPr>
              <w:keepNext/>
              <w:keepLines/>
              <w:spacing w:after="0"/>
              <w:jc w:val="center"/>
              <w:rPr>
                <w:rFonts w:ascii="宋体" w:hAnsi="宋体" w:eastAsia="宋体" w:cs="宋体"/>
                <w:sz w:val="18"/>
                <w:szCs w:val="18"/>
              </w:rPr>
            </w:pPr>
            <w:r>
              <w:rPr>
                <w:rFonts w:hint="eastAsia" w:ascii="宋体" w:hAnsi="宋体" w:eastAsia="宋体" w:cs="宋体"/>
                <w:sz w:val="18"/>
                <w:szCs w:val="18"/>
              </w:rPr>
              <w:t>202212</w:t>
            </w:r>
          </w:p>
        </w:tc>
        <w:tc>
          <w:tcPr>
            <w:tcW w:w="820" w:type="dxa"/>
            <w:vAlign w:val="center"/>
          </w:tcPr>
          <w:p>
            <w:pPr>
              <w:spacing w:after="0"/>
              <w:jc w:val="center"/>
              <w:rPr>
                <w:rFonts w:ascii="宋体" w:hAnsi="宋体" w:eastAsia="宋体" w:cs="宋体"/>
                <w:sz w:val="18"/>
                <w:szCs w:val="18"/>
              </w:rPr>
            </w:pPr>
            <w:r>
              <w:rPr>
                <w:rFonts w:hint="eastAsia" w:ascii="宋体" w:hAnsi="宋体" w:eastAsia="宋体" w:cs="宋体"/>
                <w:sz w:val="18"/>
                <w:szCs w:val="18"/>
              </w:rPr>
              <w:t>30</w:t>
            </w:r>
          </w:p>
        </w:tc>
      </w:tr>
      <w:bookmarkEnd w:id="0"/>
      <w:bookmarkEnd w:id="1"/>
      <w:bookmarkEnd w:id="2"/>
      <w:bookmarkEnd w:id="3"/>
      <w:bookmarkEnd w:id="4"/>
    </w:tbl>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506109"/>
    <w:multiLevelType w:val="multilevel"/>
    <w:tmpl w:val="75506109"/>
    <w:lvl w:ilvl="0" w:tentative="0">
      <w:start w:val="1"/>
      <w:numFmt w:val="decimal"/>
      <w:lvlText w:val="%1"/>
      <w:lvlJc w:val="center"/>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826E4"/>
    <w:rsid w:val="5F88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2021-04-28T13:27:00Z</dcterms:created>
  <dc:creator>西窗</dc:creator>
  <cp:lastModifiedBy>西窗</cp:lastModifiedBy>
  <dcterms:modified xsi:type="dcterms:W3CDTF">2021-04-28T13:27:42Z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05C36C0F4DA84BC1BD95FD7CA9996B02</vt:lpwstr>
  </property>
</Properties>
</file>